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Chemia kl.8 (26.05.2020)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Dopisz dat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 i numer lekcji do tematu ostatniej lekcji. Przeczytaj wiadomości dotyczące tematu w podręczniku str.188-190.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Napisz notatk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w zeszycie: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Przepisz do zeszytu tabele przedstawiaj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ącą jak tworzymy nazwy estr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(str. 188)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łaściwości estr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 Estry ni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ższych kwas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ów karboksylowych s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ą: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Bezbarwnymi, lotnymi cieczami,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łabo rozpuszczalnymi w wodzie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 przyjemnym kwiatowym lub owocowym zapachu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dobrymi rozpuszczalnikami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  Estry kwasów organicznych o d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łuższych łańcuchach węglowych: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w postaci substancji przypominających tłuszcz lub wosk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dobrymi rozpuszczalnikami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Ulegaj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ą reakcji spalania: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CH3COOC4H9  + O2 -------&gt;   6 CO2 + 6 H2O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etanian butylu         tlen          tlenek 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ęgla(IV)     woda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3.  Reakcja hydrolizy estrów: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Estry pod wp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ływem wody rozpadają się z utworzeniem                                                               kwasu karboksylowego i alkoholu.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Ester         +      woda      -------&gt;    kwas       +      alkohol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Przepisz reakcje hydrolizy z podr</w:t>
      </w:r>
      <w:r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  <w:t xml:space="preserve">ęcznika str. 188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4472C4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4. Zastosowanie estrów: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Zadanie domowe: str. 190, zad.1- zad.3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Wykonaj plakat przedstawiaj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ący wzory strukturalne, nazwy i zastosowania trzech wybranych estr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(plakat prze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ślij na pocztę)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