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2" w:rsidRPr="00E04DDC" w:rsidRDefault="0029664C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KATECHEZA</w:t>
      </w:r>
    </w:p>
    <w:p w:rsidR="0029664C" w:rsidRPr="00E04DDC" w:rsidRDefault="00D15DCB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klasa VII</w:t>
      </w:r>
    </w:p>
    <w:p w:rsidR="004A2E22" w:rsidRPr="00E04DDC" w:rsidRDefault="004A2E22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</w:p>
    <w:p w:rsidR="00F758EF" w:rsidRDefault="007A2479" w:rsidP="00F758EF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F758EF">
        <w:rPr>
          <w:rFonts w:ascii="Arial Black" w:hAnsi="Arial Black" w:cs="Arial"/>
          <w:color w:val="FF0000"/>
          <w:sz w:val="24"/>
          <w:szCs w:val="24"/>
          <w:u w:val="single"/>
        </w:rPr>
        <w:t xml:space="preserve">TEMAT: </w:t>
      </w:r>
      <w:r w:rsidR="00F758EF" w:rsidRPr="00F758EF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ODKŁADAĆ</w:t>
      </w:r>
      <w:r w:rsidR="00F758EF" w:rsidRPr="00F758EF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 xml:space="preserve"> </w:t>
      </w:r>
      <w:r w:rsidR="00F758EF" w:rsidRPr="00F758EF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 xml:space="preserve">AŻ DO ŚMIERCI POKUTĘ I NAWRÓCENIE </w:t>
      </w:r>
    </w:p>
    <w:p w:rsidR="001D5644" w:rsidRPr="00F758EF" w:rsidRDefault="001D5644" w:rsidP="00F758EF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F758EF" w:rsidRDefault="00F758EF" w:rsidP="00F758EF">
      <w:pPr>
        <w:spacing w:line="39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pl-PL"/>
        </w:rPr>
        <w:drawing>
          <wp:inline distT="0" distB="0" distL="0" distR="0">
            <wp:extent cx="3944471" cy="2933700"/>
            <wp:effectExtent l="0" t="0" r="0" b="0"/>
            <wp:docPr id="2" name="Obraz 2" descr="C:\Users\Józef\Desktop\niedzi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ózef\Desktop\niedzie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58" cy="29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EF" w:rsidRDefault="00F758EF" w:rsidP="00F758EF">
      <w:pPr>
        <w:pStyle w:val="NormalnyWeb"/>
        <w:spacing w:before="0" w:beforeAutospacing="0" w:after="390" w:afterAutospacing="0" w:line="312" w:lineRule="auto"/>
        <w:ind w:firstLine="708"/>
        <w:jc w:val="both"/>
        <w:rPr>
          <w:rFonts w:ascii="Arial" w:hAnsi="Arial" w:cs="Arial"/>
          <w:color w:val="222222"/>
          <w:sz w:val="27"/>
          <w:szCs w:val="27"/>
        </w:rPr>
      </w:pPr>
    </w:p>
    <w:p w:rsidR="00F758EF" w:rsidRPr="001D5644" w:rsidRDefault="00F758EF" w:rsidP="00F758EF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1D5644">
        <w:rPr>
          <w:rFonts w:ascii="Franklin Gothic Medium" w:hAnsi="Franklin Gothic Medium" w:cs="Arial"/>
          <w:color w:val="222222"/>
        </w:rPr>
        <w:t xml:space="preserve">Po </w:t>
      </w:r>
      <w:r w:rsidRPr="001D5644">
        <w:rPr>
          <w:rFonts w:ascii="Franklin Gothic Medium" w:hAnsi="Franklin Gothic Medium" w:cs="Arial"/>
          <w:color w:val="222222"/>
        </w:rPr>
        <w:t>co mam chodzić do spowiedzi, skoro i tak wrócę do grzechu? Może lepiej „poużywać” sobie tu na ziemi – przecież wystarczy, że przed śmiercią pojednam się z Bogiem. Te i podobne słowa możemy często usłyszeć z ust ludzi, którzy nie wierzą, lub uparcie nie chcą wierzyć w Boże Miłosierdzie i moc sakramentu pokuty i pojednania.</w:t>
      </w:r>
    </w:p>
    <w:p w:rsidR="001D5644" w:rsidRDefault="00F758EF" w:rsidP="00F758EF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  <w:szCs w:val="27"/>
        </w:rPr>
      </w:pPr>
      <w:r w:rsidRPr="00F758EF">
        <w:rPr>
          <w:rFonts w:ascii="Franklin Gothic Medium" w:hAnsi="Franklin Gothic Medium" w:cs="Arial"/>
          <w:color w:val="222222"/>
          <w:szCs w:val="27"/>
        </w:rPr>
        <w:t>W poprzednich katechezach mówiliśmy o </w:t>
      </w:r>
      <w:r>
        <w:rPr>
          <w:rFonts w:ascii="Franklin Gothic Medium" w:hAnsi="Franklin Gothic Medium" w:cs="Arial"/>
          <w:color w:val="222222"/>
          <w:szCs w:val="27"/>
        </w:rPr>
        <w:t>takich</w:t>
      </w:r>
      <w:r w:rsidRPr="00F758EF">
        <w:rPr>
          <w:rFonts w:ascii="Franklin Gothic Medium" w:hAnsi="Franklin Gothic Medium" w:cs="Arial"/>
          <w:color w:val="222222"/>
          <w:szCs w:val="27"/>
        </w:rPr>
        <w:t xml:space="preserve"> grzechach przeciwko Duchowi Świętemu</w:t>
      </w:r>
      <w:r>
        <w:rPr>
          <w:rFonts w:ascii="Franklin Gothic Medium" w:hAnsi="Franklin Gothic Medium" w:cs="Arial"/>
          <w:color w:val="222222"/>
          <w:szCs w:val="27"/>
        </w:rPr>
        <w:t xml:space="preserve"> jak</w:t>
      </w:r>
      <w:r w:rsidRPr="00F758EF">
        <w:rPr>
          <w:rFonts w:ascii="Franklin Gothic Medium" w:hAnsi="Franklin Gothic Medium" w:cs="Arial"/>
          <w:color w:val="222222"/>
          <w:szCs w:val="27"/>
        </w:rPr>
        <w:t xml:space="preserve">: zuchwale grzeszyć licząc na Miłosierdzie Boże oraz rozpaczać albo wątpić w Miłosierdzie Boże. Obie te postawy niczym klamra spinają pozostałe: bowiem jeśli ktoś zuchwale grzeszy, licząc na Boże Miłosierdzie, zapewne swoje nawrócenie będzie odsuwał możliwie jak najdalej w czasie. Bo skoro Bóg i tak mi wybaczy, to może lepiej „nazbieram” sobie grzechów i wszystkie razem „wyliczę” na łożu śmierci. </w:t>
      </w:r>
    </w:p>
    <w:p w:rsidR="00F758EF" w:rsidRPr="00F758EF" w:rsidRDefault="00F758EF" w:rsidP="00F758EF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  <w:szCs w:val="27"/>
        </w:rPr>
      </w:pPr>
      <w:r w:rsidRPr="00F758EF">
        <w:rPr>
          <w:rFonts w:ascii="Franklin Gothic Medium" w:hAnsi="Franklin Gothic Medium" w:cs="Arial"/>
          <w:color w:val="222222"/>
          <w:szCs w:val="27"/>
        </w:rPr>
        <w:t>Musimy jasno powiedzieć, że taka postawa jest wyrazem wielkiej bezmyślności. Nikt z nas przecież nie ma pewności kiedy umrze. Nie znamy daty naszego przejścia do wieczności. Jaki więc my mamy powód do tego, by wahać się i zwlekać z pokutą i nawróceniem?</w:t>
      </w:r>
    </w:p>
    <w:p w:rsidR="00F758EF" w:rsidRDefault="00F758EF" w:rsidP="00F758EF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  <w:szCs w:val="27"/>
        </w:rPr>
      </w:pPr>
      <w:r w:rsidRPr="00F758EF">
        <w:rPr>
          <w:rFonts w:ascii="Franklin Gothic Medium" w:hAnsi="Franklin Gothic Medium" w:cs="Arial"/>
          <w:color w:val="222222"/>
          <w:szCs w:val="27"/>
        </w:rPr>
        <w:t xml:space="preserve">Pierwszy krok w procesie powrotu do Boga jest często najtrudniejszy. Wielu z nas jest w stanie potwierdzić doświadczeniem swojego życia, że to, co przyszło z większym trudem, przyniosło większe, czy wspanialsze owoce. Podobnie jest z nawróceniem. Trzeba jasno przyznać, że ów pierwszy krok nigdy nie może być ostatnim. Istotą bowiem nawrócenia jest nie tylko odwrócenie się od czegoś, lecz także zwrócenie się ku czemuś. W sytuacji osób wierzących powinna być to nie tylko rezygnacja z grzechu, </w:t>
      </w:r>
      <w:r w:rsidRPr="00F758EF">
        <w:rPr>
          <w:rFonts w:ascii="Franklin Gothic Medium" w:hAnsi="Franklin Gothic Medium" w:cs="Arial"/>
          <w:color w:val="222222"/>
          <w:szCs w:val="27"/>
        </w:rPr>
        <w:lastRenderedPageBreak/>
        <w:t xml:space="preserve">a rozpoczęcie życia z Bogiem i służba Mu. Można w tym miejscu postawić konkretne pytanie: jaką służbę Bogu zamierza podjąć osoba będąca na łożu śmierci? </w:t>
      </w:r>
    </w:p>
    <w:p w:rsidR="00F758EF" w:rsidRPr="00F758EF" w:rsidRDefault="00F758EF" w:rsidP="00F758EF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  <w:szCs w:val="27"/>
        </w:rPr>
      </w:pPr>
      <w:r w:rsidRPr="00F758EF">
        <w:rPr>
          <w:rFonts w:ascii="Franklin Gothic Medium" w:hAnsi="Franklin Gothic Medium" w:cs="Arial"/>
          <w:color w:val="222222"/>
          <w:szCs w:val="27"/>
        </w:rPr>
        <w:t>Ten niezwykły dar, jakim jest nawrócenie, przychodzi nam z trudem. Stąd radość Boga z podjęcia tego trudu przez kogokolwiek z nas, na jakimkolwiek etapie życia, jest niewyobrażalna. Skoro jednak mamy szansę dokonywać tej przemiany każdego dnia, to po raz kolejny zastanówmy się, dlaczego zwlekamy?</w:t>
      </w:r>
    </w:p>
    <w:p w:rsidR="00F758EF" w:rsidRDefault="00F758EF" w:rsidP="00F758EF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FF0000"/>
          <w:sz w:val="24"/>
          <w:szCs w:val="24"/>
          <w:u w:val="single"/>
        </w:rPr>
      </w:pPr>
    </w:p>
    <w:p w:rsidR="00A05D27" w:rsidRPr="00725948" w:rsidRDefault="00A05D27" w:rsidP="00725948">
      <w:pPr>
        <w:pStyle w:val="Nagwek1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 w:val="0"/>
          <w:bCs w:val="0"/>
          <w:color w:val="FF0000"/>
          <w:sz w:val="24"/>
          <w:szCs w:val="24"/>
          <w:u w:val="single"/>
        </w:rPr>
      </w:pPr>
      <w:bookmarkStart w:id="0" w:name="_GoBack"/>
      <w:bookmarkEnd w:id="0"/>
    </w:p>
    <w:p w:rsidR="00AB7C54" w:rsidRPr="00E04DDC" w:rsidRDefault="00AB7C54" w:rsidP="00E04DDC">
      <w:pPr>
        <w:spacing w:after="0" w:line="312" w:lineRule="auto"/>
        <w:jc w:val="both"/>
        <w:rPr>
          <w:rFonts w:ascii="Franklin Gothic Medium" w:hAnsi="Franklin Gothic Medium"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Ktokolwiek by zbluźnił przeciwko Duchowi Świętemu niech odmawia Koronkę do Miłosierdzia Bożego. Jezus mówi:,, Niech się nie lęka zbliżyć do Mnie żadna dusza, chociażby jej grzechy były jak szkarłat. Zdrój miłosierdzia Mojego został otwarty na oścież włócznia na krzyżu dla wszystkich dusz -</w:t>
      </w: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br/>
        <w:t>NIKOGO NIE WYŁĄCZYŁEM."</w:t>
      </w:r>
    </w:p>
    <w:p w:rsidR="006E114B" w:rsidRDefault="00AB7C5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  <w:r w:rsidRPr="00E04DDC">
        <w:rPr>
          <w:rFonts w:ascii="Franklin Gothic Medium" w:hAnsi="Franklin Gothic Medium"/>
          <w:b/>
          <w:sz w:val="24"/>
          <w:szCs w:val="24"/>
        </w:rPr>
        <w:t>Dzienniczek św. Faustyny</w:t>
      </w:r>
      <w:r w:rsidR="006E114B" w:rsidRPr="00E04DDC"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  <w:br/>
      </w:r>
    </w:p>
    <w:p w:rsidR="001D5644" w:rsidRDefault="001D564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</w:p>
    <w:p w:rsidR="001D5644" w:rsidRDefault="001D564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</w:p>
    <w:p w:rsidR="001D5644" w:rsidRDefault="001D564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</w:p>
    <w:p w:rsidR="001D5644" w:rsidRPr="00E04DDC" w:rsidRDefault="001D564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</w:p>
    <w:p w:rsidR="0029664C" w:rsidRDefault="00D15DC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A76F07">
        <w:rPr>
          <w:rFonts w:ascii="Franklin Gothic Medium" w:hAnsi="Franklin Gothic Medium"/>
          <w:b/>
          <w:sz w:val="24"/>
          <w:szCs w:val="24"/>
          <w:highlight w:val="cyan"/>
          <w:u w:val="single"/>
        </w:rPr>
        <w:t>NOTATKA:</w:t>
      </w:r>
    </w:p>
    <w:p w:rsidR="00F634F4" w:rsidRDefault="001D5644" w:rsidP="00E04DDC">
      <w:pPr>
        <w:spacing w:after="0" w:line="312" w:lineRule="auto"/>
        <w:jc w:val="both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rFonts w:ascii="Franklin Gothic Medium" w:hAnsi="Franklin Gothic Medium" w:cs="Arial"/>
          <w:color w:val="222222"/>
          <w:sz w:val="24"/>
          <w:szCs w:val="24"/>
        </w:rPr>
        <w:tab/>
        <w:t xml:space="preserve">Odkładanie aż do śmierci swojego nawrócenia jest wyrazem wielkiej bezmyślności. </w:t>
      </w:r>
      <w:r w:rsidRPr="00F758EF">
        <w:rPr>
          <w:rFonts w:ascii="Franklin Gothic Medium" w:hAnsi="Franklin Gothic Medium" w:cs="Arial"/>
          <w:color w:val="222222"/>
          <w:sz w:val="24"/>
          <w:szCs w:val="27"/>
        </w:rPr>
        <w:t>Nikt z nas przecież nie ma pewności kiedy umrze.</w:t>
      </w:r>
      <w:r>
        <w:rPr>
          <w:rFonts w:ascii="Franklin Gothic Medium" w:hAnsi="Franklin Gothic Medium" w:cs="Arial"/>
          <w:color w:val="222222"/>
          <w:sz w:val="24"/>
          <w:szCs w:val="27"/>
        </w:rPr>
        <w:t xml:space="preserve"> </w:t>
      </w:r>
      <w:r w:rsidRPr="00F758EF">
        <w:rPr>
          <w:rFonts w:ascii="Franklin Gothic Medium" w:hAnsi="Franklin Gothic Medium" w:cs="Arial"/>
          <w:color w:val="222222"/>
          <w:sz w:val="24"/>
          <w:szCs w:val="27"/>
        </w:rPr>
        <w:t>Pierwszy krok w procesie powrotu do Boga jest często najtrudniejszy</w:t>
      </w:r>
      <w:r>
        <w:rPr>
          <w:rFonts w:ascii="Franklin Gothic Medium" w:hAnsi="Franklin Gothic Medium" w:cs="Arial"/>
          <w:color w:val="222222"/>
          <w:sz w:val="24"/>
          <w:szCs w:val="27"/>
        </w:rPr>
        <w:t xml:space="preserve">. </w:t>
      </w:r>
      <w:r w:rsidRPr="00F758EF">
        <w:rPr>
          <w:rFonts w:ascii="Franklin Gothic Medium" w:hAnsi="Franklin Gothic Medium" w:cs="Arial"/>
          <w:color w:val="222222"/>
          <w:sz w:val="24"/>
          <w:szCs w:val="27"/>
        </w:rPr>
        <w:t>Istotą bowiem nawrócenia jest nie tylko odwrócenie się od czegoś, lecz także zwrócenie się ku czemuś. W sytuacji osób wierzących powinna być to nie tylko rezygnacja z grzechu, a rozpoczęcie życia z Bogiem i służba Mu.</w:t>
      </w:r>
    </w:p>
    <w:p w:rsidR="00CA4023" w:rsidRDefault="00CA4023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1D5644" w:rsidRDefault="001D5644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1D5644" w:rsidRDefault="001D5644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1D5644" w:rsidRDefault="001D5644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78116E" w:rsidRPr="00E04DDC" w:rsidRDefault="0029664C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29664C" w:rsidRPr="00E04DDC" w:rsidRDefault="00CA1328" w:rsidP="00754181">
      <w:pPr>
        <w:spacing w:after="0" w:line="312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A8781B" w:rsidRPr="00E04DDC" w:rsidRDefault="00A8781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DB589D" w:rsidRPr="00E04DDC" w:rsidRDefault="00DB589D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sectPr w:rsidR="00DB589D" w:rsidRPr="00E04DDC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50049"/>
    <w:rsid w:val="000924E8"/>
    <w:rsid w:val="00130276"/>
    <w:rsid w:val="001317E2"/>
    <w:rsid w:val="001D5644"/>
    <w:rsid w:val="0029664C"/>
    <w:rsid w:val="00443D72"/>
    <w:rsid w:val="004A2E22"/>
    <w:rsid w:val="005304F2"/>
    <w:rsid w:val="005C3FB7"/>
    <w:rsid w:val="006E114B"/>
    <w:rsid w:val="006F05F6"/>
    <w:rsid w:val="00725948"/>
    <w:rsid w:val="00754181"/>
    <w:rsid w:val="0078116E"/>
    <w:rsid w:val="007871A2"/>
    <w:rsid w:val="007A2479"/>
    <w:rsid w:val="007F24B5"/>
    <w:rsid w:val="00855141"/>
    <w:rsid w:val="00871895"/>
    <w:rsid w:val="0088721D"/>
    <w:rsid w:val="008B1DED"/>
    <w:rsid w:val="009305D2"/>
    <w:rsid w:val="00A05D27"/>
    <w:rsid w:val="00A457BB"/>
    <w:rsid w:val="00A76F07"/>
    <w:rsid w:val="00A8781B"/>
    <w:rsid w:val="00AB7C54"/>
    <w:rsid w:val="00CA1328"/>
    <w:rsid w:val="00CA4023"/>
    <w:rsid w:val="00D15DCB"/>
    <w:rsid w:val="00DB589D"/>
    <w:rsid w:val="00DC0D7F"/>
    <w:rsid w:val="00DC3544"/>
    <w:rsid w:val="00E04DDC"/>
    <w:rsid w:val="00F619A7"/>
    <w:rsid w:val="00F634F4"/>
    <w:rsid w:val="00F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2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90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0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8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0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83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61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7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881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16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320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28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635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5CBD-9CF8-48C1-A4B8-576141C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2020-05-18T19:58:00Z</dcterms:created>
  <dcterms:modified xsi:type="dcterms:W3CDTF">2020-05-18T19:58:00Z</dcterms:modified>
</cp:coreProperties>
</file>